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 xml:space="preserve"> </w:t>
      </w:r>
      <w:r>
        <w:rPr>
          <w:b/>
          <w:sz w:val="24"/>
        </w:rPr>
        <w:t>RAN WG1 #1</w:t>
      </w:r>
      <w:r>
        <w:rPr>
          <w:rFonts w:hint="eastAsia" w:eastAsia="宋体"/>
          <w:b/>
          <w:sz w:val="24"/>
          <w:lang w:val="en-US" w:eastAsia="zh-CN"/>
        </w:rPr>
        <w:t>10</w:t>
      </w:r>
      <w:r>
        <w:rPr>
          <w:b/>
          <w:i/>
          <w:sz w:val="28"/>
        </w:rPr>
        <w:tab/>
      </w:r>
      <w:r>
        <w:rPr>
          <w:b/>
          <w:i w:val="0"/>
          <w:iCs/>
          <w:sz w:val="28"/>
        </w:rPr>
        <w:t>R1-220</w:t>
      </w:r>
      <w:r>
        <w:rPr>
          <w:rFonts w:hint="eastAsia" w:eastAsia="宋体"/>
          <w:b/>
          <w:i w:val="0"/>
          <w:iCs/>
          <w:sz w:val="28"/>
          <w:lang w:val="en-US" w:eastAsia="zh-CN"/>
        </w:rPr>
        <w:t>6090</w:t>
      </w:r>
    </w:p>
    <w:p>
      <w:pPr>
        <w:pStyle w:val="118"/>
        <w:tabs>
          <w:tab w:val="right" w:pos="9639"/>
        </w:tabs>
        <w:spacing w:after="0"/>
        <w:outlineLvl w:val="9"/>
        <w:rPr>
          <w:rFonts w:cs="Times New Roman"/>
          <w:b/>
          <w:sz w:val="24"/>
          <w:lang w:eastAsia="ja-JP"/>
        </w:rPr>
      </w:pPr>
      <w:r>
        <w:rPr>
          <w:rFonts w:hint="default" w:cs="Times New Roman"/>
          <w:b/>
          <w:sz w:val="24"/>
          <w:lang w:val="en-US" w:eastAsia="ja-JP"/>
        </w:rPr>
        <w:t>Toulouse</w:t>
      </w:r>
      <w:r>
        <w:rPr>
          <w:rFonts w:cs="Times New Roman"/>
          <w:b/>
          <w:sz w:val="24"/>
          <w:lang w:val="en-US" w:eastAsia="ja-JP"/>
        </w:rPr>
        <w:t>,</w:t>
      </w:r>
      <w:r>
        <w:rPr>
          <w:rFonts w:hint="default" w:cs="Times New Roman"/>
          <w:b/>
          <w:sz w:val="24"/>
          <w:lang w:val="en-US" w:eastAsia="ja-JP"/>
        </w:rPr>
        <w:t xml:space="preserve"> France,</w:t>
      </w:r>
      <w:r>
        <w:rPr>
          <w:rFonts w:cs="Times New Roman"/>
          <w:b/>
          <w:sz w:val="24"/>
          <w:lang w:val="en-US" w:eastAsia="ja-JP"/>
        </w:rPr>
        <w:t xml:space="preserve"> </w:t>
      </w:r>
      <w:r>
        <w:rPr>
          <w:rFonts w:hint="default" w:cs="Times New Roman"/>
          <w:b/>
          <w:sz w:val="24"/>
          <w:lang w:val="en-US" w:eastAsia="ja-JP"/>
        </w:rPr>
        <w:t>August</w:t>
      </w:r>
      <w:r>
        <w:rPr>
          <w:rFonts w:cs="Times New Roman"/>
          <w:b/>
          <w:sz w:val="24"/>
          <w:lang w:val="en-US" w:eastAsia="ja-JP"/>
        </w:rPr>
        <w:t xml:space="preserve"> </w:t>
      </w:r>
      <w:r>
        <w:rPr>
          <w:rFonts w:hint="default" w:cs="Times New Roman"/>
          <w:b/>
          <w:sz w:val="24"/>
          <w:lang w:val="en-US" w:eastAsia="ja-JP"/>
        </w:rPr>
        <w:t>22</w:t>
      </w:r>
      <w:r>
        <w:rPr>
          <w:rFonts w:hint="default" w:cs="Times New Roman"/>
          <w:b/>
          <w:sz w:val="24"/>
          <w:vertAlign w:val="superscript"/>
          <w:lang w:val="en-US" w:eastAsia="ja-JP"/>
        </w:rPr>
        <w:t>th</w:t>
      </w:r>
      <w:r>
        <w:rPr>
          <w:rFonts w:hint="default" w:cs="Times New Roman"/>
          <w:b/>
          <w:sz w:val="24"/>
          <w:lang w:val="en-US" w:eastAsia="ja-JP"/>
        </w:rPr>
        <w:t xml:space="preserve"> - 26</w:t>
      </w:r>
      <w:r>
        <w:rPr>
          <w:rFonts w:hint="default" w:cs="Times New Roman"/>
          <w:b/>
          <w:sz w:val="24"/>
          <w:vertAlign w:val="superscript"/>
          <w:lang w:val="en-US" w:eastAsia="ja-JP"/>
        </w:rPr>
        <w:t>th</w:t>
      </w:r>
      <w:r>
        <w:rPr>
          <w:rFonts w:cs="Times New Roman"/>
          <w:b/>
          <w:sz w:val="24"/>
          <w:lang w:val="en-US" w:eastAsia="ja-JP"/>
        </w:rPr>
        <w:t>, 2022</w:t>
      </w:r>
    </w:p>
    <w:p>
      <w:pPr>
        <w:pStyle w:val="118"/>
        <w:outlineLvl w:val="0"/>
        <w:rPr>
          <w:b/>
          <w:sz w:val="24"/>
        </w:rPr>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hint="eastAsia" w:eastAsia="宋体"/>
                <w:b/>
                <w:sz w:val="28"/>
                <w:lang w:val="en-US" w:eastAsia="zh-CN"/>
              </w:rPr>
            </w:pPr>
            <w:r>
              <w:rPr>
                <w:b/>
                <w:sz w:val="28"/>
              </w:rPr>
              <w:t>38.21</w:t>
            </w:r>
            <w:r>
              <w:rPr>
                <w:rFonts w:hint="eastAsia" w:eastAsia="宋体"/>
                <w:b/>
                <w:sz w:val="28"/>
                <w:lang w:val="en-US" w:eastAsia="zh-CN"/>
              </w:rPr>
              <w:t>3</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pPr>
            <w:r>
              <w:rPr>
                <w:b/>
                <w:color w:val="FF0000"/>
                <w:sz w:val="28"/>
              </w:rPr>
              <w:t>DRAFT</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hint="eastAsia" w:eastAsia="宋体"/>
                <w:b/>
                <w:sz w:val="28"/>
                <w:lang w:val="en-US" w:eastAsia="zh-CN"/>
              </w:rPr>
              <w:t>2</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498"/>
        <w:gridCol w:w="637"/>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Correction o</w:t>
            </w:r>
            <w:r>
              <w:rPr>
                <w:lang w:val="en-US"/>
              </w:rPr>
              <w:t xml:space="preserve">n </w:t>
            </w:r>
            <w:r>
              <w:rPr>
                <w:rFonts w:hint="eastAsia" w:eastAsia="宋体"/>
                <w:lang w:val="en-US" w:eastAsia="zh-CN"/>
              </w:rPr>
              <w:t>small data transmission in TS 38.213</w:t>
            </w:r>
          </w:p>
          <w:p>
            <w:pPr>
              <w:pStyle w:val="118"/>
              <w:spacing w:after="0"/>
              <w:ind w:left="100"/>
            </w:pP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t xml:space="preserve">NR_SmallData_INACTIVE-Core </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宋体"/>
                <w:lang w:val="en-US" w:eastAsia="zh-CN"/>
              </w:rPr>
            </w:pPr>
            <w:r>
              <w:t>2022-0</w:t>
            </w:r>
            <w:r>
              <w:rPr>
                <w:rFonts w:hint="eastAsia" w:eastAsia="宋体"/>
                <w:lang w:val="en-US" w:eastAsia="zh-CN"/>
              </w:rPr>
              <w:t>8-12</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498" w:type="dxa"/>
            <w:shd w:val="pct30" w:color="FFFF00" w:fill="auto"/>
          </w:tcPr>
          <w:p>
            <w:pPr>
              <w:pStyle w:val="118"/>
              <w:spacing w:after="0"/>
              <w:ind w:left="100" w:right="-609"/>
              <w:rPr>
                <w:b/>
              </w:rPr>
            </w:pPr>
            <w:r>
              <w:rPr>
                <w:b/>
              </w:rPr>
              <w:t>F</w:t>
            </w:r>
          </w:p>
        </w:tc>
        <w:tc>
          <w:tcPr>
            <w:tcW w:w="3755"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7299" w:type="dxa"/>
            <w:gridSpan w:val="9"/>
            <w:tcBorders>
              <w:top w:val="single" w:color="auto" w:sz="4" w:space="0"/>
              <w:right w:val="single" w:color="auto" w:sz="4" w:space="0"/>
            </w:tcBorders>
            <w:shd w:val="pct30" w:color="FFFF00" w:fill="auto"/>
          </w:tcPr>
          <w:p>
            <w:pPr>
              <w:pStyle w:val="290"/>
              <w:widowControl w:val="0"/>
              <w:ind w:left="0" w:firstLine="0"/>
              <w:rPr>
                <w:rFonts w:hint="default" w:ascii="Times New Roman" w:hAnsi="Times New Roman" w:eastAsia="宋体" w:cs="Times New Roman"/>
                <w:b/>
                <w:i/>
                <w:sz w:val="20"/>
                <w:szCs w:val="20"/>
                <w:lang w:val="en-US" w:eastAsia="zh-CN"/>
              </w:rPr>
            </w:pPr>
            <w:r>
              <w:rPr>
                <w:rFonts w:hint="default" w:ascii="Times New Roman" w:hAnsi="Times New Roman" w:eastAsia="宋体" w:cs="Times New Roman"/>
                <w:i w:val="0"/>
                <w:iCs/>
                <w:sz w:val="20"/>
                <w:szCs w:val="20"/>
                <w:highlight w:val="none"/>
                <w:lang w:val="en-US" w:eastAsia="zh-CN"/>
              </w:rPr>
              <w:t xml:space="preserve">For </w:t>
            </w:r>
            <w:bookmarkStart w:id="13" w:name="_GoBack"/>
            <w:bookmarkEnd w:id="13"/>
            <w:r>
              <w:rPr>
                <w:rFonts w:hint="default" w:ascii="Times New Roman" w:hAnsi="Times New Roman" w:eastAsia="宋体" w:cs="Times New Roman"/>
                <w:i w:val="0"/>
                <w:iCs/>
                <w:sz w:val="20"/>
                <w:szCs w:val="20"/>
                <w:highlight w:val="none"/>
                <w:lang w:val="en-US" w:eastAsia="zh-CN"/>
              </w:rPr>
              <w:t>parameters</w:t>
            </w:r>
            <w:r>
              <w:rPr>
                <w:rFonts w:hint="default" w:ascii="Times New Roman" w:hAnsi="Times New Roman" w:eastAsia="宋体" w:cs="Times New Roman"/>
                <w:i/>
                <w:iCs w:val="0"/>
                <w:sz w:val="20"/>
                <w:szCs w:val="20"/>
                <w:highlight w:val="none"/>
                <w:lang w:val="en-US" w:eastAsia="zh-CN"/>
              </w:rPr>
              <w:t xml:space="preserve"> </w:t>
            </w:r>
            <w:r>
              <w:rPr>
                <w:rFonts w:hint="default" w:ascii="Times New Roman" w:hAnsi="Times New Roman" w:cs="Times New Roman"/>
                <w:i/>
                <w:iCs w:val="0"/>
                <w:sz w:val="20"/>
                <w:szCs w:val="20"/>
                <w:highlight w:val="none"/>
              </w:rPr>
              <w:t>sdt-CB-PreamblesPerSSB-PerSharedRO</w:t>
            </w:r>
            <w:r>
              <w:rPr>
                <w:rFonts w:hint="eastAsia" w:eastAsia="宋体" w:cs="Times New Roman"/>
                <w:i/>
                <w:iCs w:val="0"/>
                <w:sz w:val="20"/>
                <w:szCs w:val="20"/>
                <w:highlight w:val="none"/>
                <w:lang w:val="en-US" w:eastAsia="zh-CN"/>
              </w:rPr>
              <w:t xml:space="preserve">, </w:t>
            </w:r>
            <w:r>
              <w:rPr>
                <w:rFonts w:hint="default" w:ascii="Times New Roman" w:hAnsi="Times New Roman" w:cs="Times New Roman"/>
                <w:i/>
                <w:iCs w:val="0"/>
                <w:sz w:val="20"/>
                <w:szCs w:val="20"/>
                <w:highlight w:val="none"/>
              </w:rPr>
              <w:t>sdt-msgA-CB-PreamblesPerSSB-PerSharedRO</w:t>
            </w:r>
            <w:r>
              <w:rPr>
                <w:rFonts w:hint="eastAsia" w:eastAsia="宋体" w:cs="Times New Roman"/>
                <w:i/>
                <w:iCs w:val="0"/>
                <w:sz w:val="20"/>
                <w:szCs w:val="20"/>
                <w:highlight w:val="none"/>
                <w:lang w:val="en-US" w:eastAsia="zh-CN"/>
              </w:rPr>
              <w:t>, p0-PUSCH, alpha</w:t>
            </w:r>
            <w:r>
              <w:rPr>
                <w:rFonts w:hint="default" w:ascii="Times New Roman" w:hAnsi="Times New Roman" w:eastAsia="宋体" w:cs="Times New Roman"/>
                <w:i/>
                <w:iCs w:val="0"/>
                <w:sz w:val="20"/>
                <w:szCs w:val="20"/>
                <w:highlight w:val="none"/>
                <w:lang w:val="en-US" w:eastAsia="zh-CN"/>
              </w:rPr>
              <w:t>,</w:t>
            </w:r>
            <w:r>
              <w:rPr>
                <w:rFonts w:hint="default" w:ascii="Times New Roman" w:hAnsi="Times New Roman" w:eastAsia="宋体" w:cs="Times New Roman"/>
                <w:i w:val="0"/>
                <w:iCs/>
                <w:sz w:val="20"/>
                <w:szCs w:val="20"/>
                <w:highlight w:val="none"/>
                <w:lang w:val="en-US" w:eastAsia="zh-CN"/>
              </w:rPr>
              <w:t xml:space="preserve"> p</w:t>
            </w:r>
            <w:r>
              <w:rPr>
                <w:rFonts w:hint="default" w:ascii="Times New Roman" w:hAnsi="Times New Roman" w:eastAsia="宋体" w:cs="Times New Roman"/>
                <w:b w:val="0"/>
                <w:bCs/>
                <w:i w:val="0"/>
                <w:iCs/>
                <w:sz w:val="20"/>
                <w:szCs w:val="20"/>
                <w:lang w:val="en-US" w:eastAsia="zh-CN"/>
              </w:rPr>
              <w:t>arameter name is not consistent with TS 38.331.</w:t>
            </w:r>
          </w:p>
          <w:p>
            <w:pPr>
              <w:pStyle w:val="118"/>
              <w:spacing w:after="0"/>
              <w:ind w:left="100"/>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r>
              <w:rPr>
                <w:b/>
                <w:i/>
              </w:rPr>
              <w:t>Summary of change:</w:t>
            </w:r>
          </w:p>
        </w:tc>
        <w:tc>
          <w:tcPr>
            <w:tcW w:w="7299" w:type="dxa"/>
            <w:gridSpan w:val="9"/>
            <w:tcBorders>
              <w:right w:val="single" w:color="auto" w:sz="4" w:space="0"/>
            </w:tcBorders>
            <w:shd w:val="pct30" w:color="FFFF00" w:fill="auto"/>
          </w:tcPr>
          <w:p>
            <w:pPr>
              <w:pStyle w:val="118"/>
              <w:spacing w:after="0"/>
              <w:ind w:left="10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In section 7.1.1, </w:t>
            </w:r>
            <w:r>
              <w:rPr>
                <w:rFonts w:hint="eastAsia" w:ascii="Times New Roman" w:hAnsi="Times New Roman" w:eastAsia="宋体" w:cs="Times New Roman"/>
                <w:i/>
                <w:iCs/>
                <w:sz w:val="20"/>
                <w:szCs w:val="20"/>
                <w:lang w:val="en-US" w:eastAsia="zh-CN"/>
              </w:rPr>
              <w:t xml:space="preserve">p0-PUSCH </w:t>
            </w:r>
            <w:r>
              <w:rPr>
                <w:rFonts w:hint="eastAsia" w:ascii="Times New Roman" w:hAnsi="Times New Roman" w:eastAsia="宋体" w:cs="Times New Roman"/>
                <w:i w:val="0"/>
                <w:iCs w:val="0"/>
                <w:sz w:val="20"/>
                <w:szCs w:val="20"/>
                <w:lang w:val="en-US" w:eastAsia="zh-CN"/>
              </w:rPr>
              <w:t xml:space="preserve">is replaced by </w:t>
            </w:r>
            <w:r>
              <w:rPr>
                <w:rFonts w:hint="default" w:ascii="Times New Roman" w:hAnsi="Times New Roman" w:cs="Times New Roman"/>
                <w:i/>
                <w:iCs/>
              </w:rPr>
              <w:t>sdt-P</w:t>
            </w:r>
            <w:r>
              <w:rPr>
                <w:rFonts w:hint="default" w:ascii="Times New Roman" w:hAnsi="Times New Roman" w:eastAsia="宋体" w:cs="Times New Roman"/>
                <w:i/>
                <w:iCs/>
              </w:rPr>
              <w:t>0-PUSCH-r17</w:t>
            </w:r>
            <w:r>
              <w:rPr>
                <w:rFonts w:hint="eastAsia" w:ascii="Times New Roman" w:hAnsi="Times New Roman" w:eastAsia="宋体" w:cs="Times New Roman"/>
                <w:i/>
                <w:iCs/>
                <w:sz w:val="20"/>
                <w:szCs w:val="20"/>
                <w:lang w:val="en-US" w:eastAsia="zh-CN"/>
              </w:rPr>
              <w:t xml:space="preserve"> </w:t>
            </w:r>
            <w:r>
              <w:rPr>
                <w:rFonts w:hint="eastAsia" w:ascii="Times New Roman" w:hAnsi="Times New Roman" w:eastAsia="宋体" w:cs="Times New Roman"/>
                <w:i w:val="0"/>
                <w:iCs w:val="0"/>
                <w:sz w:val="20"/>
                <w:szCs w:val="20"/>
                <w:lang w:val="en-US" w:eastAsia="zh-CN"/>
              </w:rPr>
              <w:t>and</w:t>
            </w:r>
            <w:r>
              <w:rPr>
                <w:rFonts w:hint="eastAsia" w:ascii="Times New Roman" w:hAnsi="Times New Roman" w:eastAsia="宋体" w:cs="Times New Roman"/>
                <w:i/>
                <w:iCs/>
                <w:sz w:val="20"/>
                <w:szCs w:val="20"/>
                <w:lang w:val="en-US" w:eastAsia="zh-CN"/>
              </w:rPr>
              <w:t xml:space="preserve"> alpha</w:t>
            </w:r>
            <w:r>
              <w:rPr>
                <w:rFonts w:hint="eastAsia" w:ascii="Times New Roman" w:hAnsi="Times New Roman" w:eastAsia="宋体" w:cs="Times New Roman"/>
                <w:i w:val="0"/>
                <w:iCs w:val="0"/>
                <w:sz w:val="20"/>
                <w:szCs w:val="20"/>
                <w:lang w:val="en-US" w:eastAsia="zh-CN"/>
              </w:rPr>
              <w:t xml:space="preserve"> is replaced by</w:t>
            </w:r>
            <w:r>
              <w:rPr>
                <w:rFonts w:hint="eastAsia" w:ascii="Times New Roman" w:hAnsi="Times New Roman" w:eastAsia="宋体" w:cs="Times New Roman"/>
                <w:i/>
                <w:iCs/>
                <w:sz w:val="20"/>
                <w:szCs w:val="20"/>
                <w:lang w:val="en-US" w:eastAsia="zh-CN"/>
              </w:rPr>
              <w:t xml:space="preserve"> </w:t>
            </w:r>
            <w:r>
              <w:rPr>
                <w:rFonts w:hint="default" w:ascii="Times New Roman" w:hAnsi="Times New Roman" w:cs="Times New Roman"/>
                <w:i/>
                <w:iCs/>
              </w:rPr>
              <w:t>sdt-A</w:t>
            </w:r>
            <w:r>
              <w:rPr>
                <w:rFonts w:hint="default" w:ascii="Times New Roman" w:hAnsi="Times New Roman" w:eastAsia="宋体" w:cs="Times New Roman"/>
                <w:i/>
                <w:iCs/>
              </w:rPr>
              <w:t>lpha-r17</w:t>
            </w:r>
            <w:r>
              <w:rPr>
                <w:rFonts w:hint="default" w:ascii="Times New Roman" w:hAnsi="Times New Roman" w:eastAsia="宋体" w:cs="Times New Roman"/>
                <w:lang w:val="en-US" w:eastAsia="zh-CN"/>
              </w:rPr>
              <w:t>.</w:t>
            </w:r>
          </w:p>
          <w:p>
            <w:pPr>
              <w:pStyle w:val="118"/>
              <w:spacing w:after="0"/>
              <w:ind w:left="100"/>
              <w:rPr>
                <w:lang w:eastAsia="ko-KR"/>
              </w:rPr>
            </w:pPr>
            <w:r>
              <w:rPr>
                <w:rFonts w:hint="default" w:ascii="Times New Roman" w:hAnsi="Times New Roman" w:eastAsia="宋体" w:cs="Times New Roman"/>
                <w:b w:val="0"/>
                <w:bCs/>
                <w:i w:val="0"/>
                <w:iCs/>
                <w:sz w:val="20"/>
                <w:szCs w:val="20"/>
                <w:lang w:val="en-US" w:eastAsia="zh-CN"/>
              </w:rPr>
              <w:t xml:space="preserve">In section 19.2, </w:t>
            </w:r>
            <w:r>
              <w:rPr>
                <w:rFonts w:hint="default" w:ascii="Times New Roman" w:hAnsi="Times New Roman" w:cs="Times New Roman"/>
                <w:i/>
                <w:iCs w:val="0"/>
                <w:sz w:val="20"/>
                <w:szCs w:val="20"/>
                <w:highlight w:val="none"/>
              </w:rPr>
              <w:t>sdt-CB-PreamblesPerSSB-PerSharedRO</w:t>
            </w:r>
            <w:r>
              <w:rPr>
                <w:rFonts w:hint="default" w:ascii="Times New Roman" w:hAnsi="Times New Roman" w:eastAsia="宋体" w:cs="Times New Roman"/>
                <w:i/>
                <w:iCs w:val="0"/>
                <w:sz w:val="20"/>
                <w:szCs w:val="20"/>
                <w:highlight w:val="none"/>
                <w:lang w:val="en-US" w:eastAsia="zh-CN"/>
              </w:rPr>
              <w:t xml:space="preserve"> </w:t>
            </w:r>
            <w:r>
              <w:rPr>
                <w:rFonts w:hint="default" w:ascii="Times New Roman" w:hAnsi="Times New Roman" w:eastAsia="宋体" w:cs="Times New Roman"/>
                <w:i w:val="0"/>
                <w:iCs/>
                <w:sz w:val="20"/>
                <w:szCs w:val="20"/>
                <w:highlight w:val="none"/>
                <w:lang w:val="en-US" w:eastAsia="zh-CN"/>
              </w:rPr>
              <w:t xml:space="preserve">or </w:t>
            </w:r>
            <w:r>
              <w:rPr>
                <w:rFonts w:hint="default" w:ascii="Times New Roman" w:hAnsi="Times New Roman" w:cs="Times New Roman"/>
                <w:i/>
                <w:iCs w:val="0"/>
                <w:sz w:val="20"/>
                <w:szCs w:val="20"/>
                <w:highlight w:val="none"/>
              </w:rPr>
              <w:t>sdt-msgA-CB-PreamblesPerSSB-PerSharedRO</w:t>
            </w:r>
            <w:r>
              <w:rPr>
                <w:rFonts w:hint="default" w:ascii="Times New Roman" w:hAnsi="Times New Roman" w:eastAsia="宋体" w:cs="Times New Roman"/>
                <w:i/>
                <w:iCs w:val="0"/>
                <w:sz w:val="20"/>
                <w:szCs w:val="20"/>
                <w:highlight w:val="none"/>
                <w:lang w:val="en-US" w:eastAsia="zh-CN"/>
              </w:rPr>
              <w:t xml:space="preserve"> </w:t>
            </w:r>
            <w:r>
              <w:rPr>
                <w:rFonts w:hint="default" w:ascii="Times New Roman" w:hAnsi="Times New Roman" w:eastAsia="宋体" w:cs="Times New Roman"/>
                <w:i w:val="0"/>
                <w:iCs/>
                <w:sz w:val="20"/>
                <w:szCs w:val="20"/>
                <w:highlight w:val="none"/>
                <w:lang w:val="en-US" w:eastAsia="zh-CN"/>
              </w:rPr>
              <w:t xml:space="preserve">is replaced by </w:t>
            </w:r>
            <w:r>
              <w:rPr>
                <w:rFonts w:hint="default" w:ascii="Times New Roman" w:hAnsi="Times New Roman" w:cs="Times New Roman"/>
                <w:i/>
                <w:iCs/>
              </w:rPr>
              <w:t>numberOfPreamblesForThisPartition-r17</w:t>
            </w:r>
            <w:r>
              <w:rPr>
                <w:rFonts w:hint="default" w:ascii="Times New Roman" w:hAnsi="Times New Roman" w:eastAsia="宋体" w:cs="Times New Roman"/>
                <w:i w:val="0"/>
                <w:iCs w:val="0"/>
                <w:lang w:val="en-US" w:eastAsia="zh-CN"/>
              </w:rPr>
              <w:t xml:space="preserve">. </w:t>
            </w:r>
            <w:r>
              <w:rPr>
                <w:rFonts w:hint="default" w:ascii="Times New Roman" w:hAnsi="Times New Roman" w:cs="Times New Roman"/>
                <w:i/>
                <w:iCs/>
                <w:strike w:val="0"/>
                <w:dstrike w:val="0"/>
                <w:color w:val="auto"/>
                <w:shd w:val="clear" w:color="auto" w:fill="FFFFFF"/>
              </w:rPr>
              <w:t>sdt-SSB-SharedRO-MaskIndex</w:t>
            </w:r>
            <w:r>
              <w:rPr>
                <w:rStyle w:val="281"/>
                <w:rFonts w:hint="default" w:ascii="Times New Roman" w:hAnsi="Times New Roman" w:cs="Times New Roman"/>
                <w:strike w:val="0"/>
                <w:dstrike w:val="0"/>
                <w:color w:val="auto"/>
                <w:shd w:val="clear" w:color="auto" w:fill="FFFFFF"/>
              </w:rPr>
              <w:t xml:space="preserve"> or </w:t>
            </w:r>
            <w:r>
              <w:rPr>
                <w:rFonts w:hint="default" w:ascii="Times New Roman" w:hAnsi="Times New Roman" w:cs="Times New Roman"/>
                <w:i/>
                <w:iCs/>
                <w:strike w:val="0"/>
                <w:dstrike w:val="0"/>
                <w:color w:val="auto"/>
                <w:shd w:val="clear" w:color="auto" w:fill="FFFFFF"/>
              </w:rPr>
              <w:t>sdt-msgA-SSB-SharedRO-MaskIndex</w:t>
            </w:r>
            <w:r>
              <w:rPr>
                <w:rFonts w:hint="default" w:ascii="Times New Roman" w:hAnsi="Times New Roman" w:eastAsia="宋体" w:cs="Times New Roman"/>
                <w:i w:val="0"/>
                <w:iCs w:val="0"/>
                <w:strike w:val="0"/>
                <w:dstrike w:val="0"/>
                <w:color w:val="auto"/>
                <w:shd w:val="clear" w:color="auto" w:fill="FFFFFF"/>
                <w:lang w:val="en-US" w:eastAsia="zh-CN"/>
              </w:rPr>
              <w:t xml:space="preserve"> is replaced by </w:t>
            </w:r>
            <w:r>
              <w:rPr>
                <w:rFonts w:hint="default" w:ascii="Times New Roman" w:hAnsi="Times New Roman" w:cs="Times New Roman"/>
                <w:i/>
                <w:iCs/>
              </w:rPr>
              <w:t>ssb-SharedRO-MaskIndex-r17</w:t>
            </w:r>
            <w:r>
              <w:rPr>
                <w:rFonts w:hint="default" w:ascii="Times New Roman" w:hAnsi="Times New Roman" w:eastAsia="宋体" w:cs="Times New Roman"/>
                <w:i/>
                <w:iCs/>
                <w:lang w:val="en-US" w:eastAsia="zh-CN"/>
              </w:rPr>
              <w:t>.</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7299"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default" w:ascii="Times New Roman" w:hAnsi="Times New Roman" w:eastAsia="宋体" w:cs="Times New Roman"/>
                <w:sz w:val="20"/>
                <w:szCs w:val="20"/>
                <w:lang w:val="en-US" w:eastAsia="zh-CN"/>
              </w:rPr>
              <w:t>Parameter name misalignment.</w:t>
            </w:r>
          </w:p>
        </w:tc>
      </w:tr>
      <w:tr>
        <w:tblPrEx>
          <w:tblCellMar>
            <w:top w:w="0" w:type="dxa"/>
            <w:left w:w="42" w:type="dxa"/>
            <w:bottom w:w="0" w:type="dxa"/>
            <w:right w:w="42" w:type="dxa"/>
          </w:tblCellMar>
        </w:tblPrEx>
        <w:tc>
          <w:tcPr>
            <w:tcW w:w="2341" w:type="dxa"/>
            <w:gridSpan w:val="2"/>
          </w:tcPr>
          <w:p>
            <w:pPr>
              <w:pStyle w:val="118"/>
              <w:spacing w:after="0"/>
              <w:rPr>
                <w:b/>
                <w:i/>
                <w:sz w:val="8"/>
                <w:szCs w:val="8"/>
              </w:rPr>
            </w:pPr>
          </w:p>
        </w:tc>
        <w:tc>
          <w:tcPr>
            <w:tcW w:w="7299" w:type="dxa"/>
            <w:gridSpan w:val="9"/>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7299" w:type="dxa"/>
            <w:gridSpan w:val="9"/>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7.1.1, 19.2</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p>
        </w:tc>
        <w:tc>
          <w:tcPr>
            <w:tcW w:w="637"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r>
              <w:rPr>
                <w:b/>
                <w:i/>
              </w:rPr>
              <w:t>Other specs</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r>
              <w:rPr>
                <w:b/>
                <w:i/>
              </w:rPr>
              <w:t>affected:</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r>
              <w:rPr>
                <w:b/>
                <w:i/>
              </w:rPr>
              <w:t>(show related CRs)</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p>
        </w:tc>
        <w:tc>
          <w:tcPr>
            <w:tcW w:w="7299"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341"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7299"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p>
        </w:tc>
      </w:tr>
      <w:tr>
        <w:tblPrEx>
          <w:tblCellMar>
            <w:top w:w="0" w:type="dxa"/>
            <w:left w:w="42" w:type="dxa"/>
            <w:bottom w:w="0" w:type="dxa"/>
            <w:right w:w="42" w:type="dxa"/>
          </w:tblCellMar>
        </w:tblPrEx>
        <w:tc>
          <w:tcPr>
            <w:tcW w:w="2341"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7299"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7299"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pBdr>
          <w:bottom w:val="double" w:color="auto" w:sz="6" w:space="1"/>
        </w:pBdr>
      </w:pPr>
    </w:p>
    <w:p>
      <w:pPr>
        <w:widowControl w:val="0"/>
        <w:spacing w:line="240" w:lineRule="auto"/>
        <w:jc w:val="center"/>
        <w:rPr>
          <w:b/>
          <w:bCs/>
          <w:color w:val="FF0000"/>
          <w:lang w:eastAsia="zh-CN"/>
        </w:rPr>
      </w:pPr>
      <w:r>
        <w:rPr>
          <w:b/>
          <w:bCs/>
          <w:color w:val="FF0000"/>
          <w:lang w:eastAsia="zh-CN"/>
        </w:rPr>
        <w:t>&lt; Unchanged text omitted &gt;</w:t>
      </w:r>
    </w:p>
    <w:p>
      <w:pPr>
        <w:pStyle w:val="4"/>
      </w:pPr>
      <w:bookmarkStart w:id="1" w:name="_Toc29899113"/>
      <w:bookmarkStart w:id="2" w:name="_Toc20311558"/>
      <w:bookmarkStart w:id="3" w:name="_Toc45699168"/>
      <w:bookmarkStart w:id="4" w:name="_Toc29899531"/>
      <w:bookmarkStart w:id="5" w:name="_Toc12021446"/>
      <w:bookmarkStart w:id="6" w:name="_Toc29917268"/>
      <w:bookmarkStart w:id="7" w:name="_Toc106629408"/>
      <w:bookmarkStart w:id="8" w:name="_Toc36498142"/>
      <w:bookmarkStart w:id="9" w:name="_Toc29894814"/>
      <w:bookmarkStart w:id="10" w:name="_Toc26719383"/>
      <w:bookmarkStart w:id="11" w:name="_Ref500774487"/>
      <w:bookmarkStart w:id="12" w:name="_Ref497117847"/>
      <w:r>
        <w:t>7.1.1</w:t>
      </w:r>
      <w:r>
        <w:tab/>
      </w:r>
      <w:r>
        <w:t>UE behaviour</w:t>
      </w:r>
      <w:bookmarkEnd w:id="1"/>
      <w:bookmarkEnd w:id="2"/>
      <w:bookmarkEnd w:id="3"/>
      <w:bookmarkEnd w:id="4"/>
      <w:bookmarkEnd w:id="5"/>
      <w:bookmarkEnd w:id="6"/>
      <w:bookmarkEnd w:id="7"/>
      <w:bookmarkEnd w:id="8"/>
      <w:bookmarkEnd w:id="9"/>
      <w:bookmarkEnd w:id="10"/>
      <w:bookmarkEnd w:id="11"/>
    </w:p>
    <w:bookmarkEnd w:id="12"/>
    <w:p>
      <w:pPr>
        <w:widowControl w:val="0"/>
        <w:spacing w:line="240" w:lineRule="auto"/>
        <w:jc w:val="center"/>
        <w:rPr>
          <w:b/>
          <w:bCs/>
          <w:color w:val="FF0000"/>
          <w:lang w:eastAsia="zh-CN"/>
        </w:rPr>
      </w:pPr>
      <w:r>
        <w:rPr>
          <w:b/>
          <w:bCs/>
          <w:color w:val="FF0000"/>
          <w:lang w:eastAsia="zh-CN"/>
        </w:rPr>
        <w:t>&lt; Unchanged text omitted &gt;</w:t>
      </w:r>
    </w:p>
    <w:p>
      <w:pPr>
        <w:pStyle w:val="114"/>
        <w:rPr>
          <w:rFonts w:ascii="Cambria Math" w:hAnsi="Cambria Math"/>
          <w:i w:val="0"/>
        </w:rPr>
      </w:pPr>
      <w:r>
        <w:t>-</w:t>
      </w:r>
      <w:r>
        <w:tab/>
      </w:r>
      <w:r>
        <w:t xml:space="preserve">else, </w:t>
      </w:r>
      <m:oMath>
        <m:sSub>
          <m:sSubPr>
            <m:ctrlPr>
              <w:rPr>
                <w:rFonts w:ascii="Cambria Math" w:hAnsi="Cambria Math"/>
                <w:iCs/>
              </w:rPr>
            </m:ctrlPr>
          </m:sSubPr>
          <m:e>
            <m:r>
              <m:rPr/>
              <w:rPr>
                <w:rFonts w:ascii="Cambria Math" w:hAnsi="Cambria Math"/>
              </w:rPr>
              <m:t>P</m:t>
            </m:r>
            <m:ctrlPr>
              <w:rPr>
                <w:rFonts w:ascii="Cambria Math" w:hAnsi="Cambria Math"/>
                <w:iCs/>
              </w:rPr>
            </m:ctrlPr>
          </m:e>
          <m:sub>
            <m:r>
              <m:rPr>
                <m:nor/>
                <m:sty m:val="p"/>
              </m:rPr>
              <w:rPr>
                <w:b w:val="0"/>
                <w:i w:val="0"/>
                <w:iCs/>
                <w:lang w:val="en-US"/>
              </w:rPr>
              <m:t>O_NOMINAL,P</m:t>
            </m:r>
            <m:r>
              <m:rPr>
                <m:nor/>
                <m:sty m:val="p"/>
              </m:rPr>
              <w:rPr>
                <w:b w:val="0"/>
                <w:i w:val="0"/>
                <w:iCs/>
              </w:rPr>
              <m:t>USCH</m:t>
            </m:r>
            <m:r>
              <m:rPr>
                <m:sty m:val="p"/>
              </m:rPr>
              <w:rPr>
                <w:rFonts w:ascii="Cambria Math" w:hAnsi="Cambria Math"/>
              </w:rPr>
              <m:t>,</m:t>
            </m:r>
            <m:r>
              <m:rPr/>
              <w:rPr>
                <w:rFonts w:ascii="Cambria Math" w:hAnsi="Cambria Math"/>
              </w:rPr>
              <m:t>f</m:t>
            </m:r>
            <m:r>
              <m:rPr>
                <m:sty m:val="p"/>
              </m:rPr>
              <w:rPr>
                <w:rFonts w:ascii="Cambria Math" w:hAnsi="Cambria Math"/>
              </w:rPr>
              <m:t>,</m:t>
            </m:r>
            <m:r>
              <m:rPr/>
              <w:rPr>
                <w:rFonts w:ascii="Cambria Math" w:hAnsi="Cambria Math"/>
              </w:rPr>
              <m:t>c</m:t>
            </m:r>
            <m:ctrlPr>
              <w:rPr>
                <w:rFonts w:ascii="Cambria Math" w:hAnsi="Cambria Math"/>
                <w:iCs/>
              </w:rPr>
            </m:ctrlPr>
          </m:sub>
        </m:sSub>
        <m:d>
          <m:dPr>
            <m:ctrlPr>
              <w:rPr>
                <w:rFonts w:ascii="Cambria Math" w:hAnsi="Cambria Math"/>
              </w:rPr>
            </m:ctrlPr>
          </m:dPr>
          <m:e>
            <m:r>
              <m:rPr/>
              <w:rPr>
                <w:rFonts w:ascii="Cambria Math" w:hAnsi="Cambria Math"/>
              </w:rPr>
              <m:t>1</m:t>
            </m:r>
            <m:ctrlPr>
              <w:rPr>
                <w:rFonts w:ascii="Cambria Math" w:hAnsi="Cambria Math"/>
              </w:rPr>
            </m:ctrlPr>
          </m:e>
        </m:d>
      </m:oMath>
      <w:r>
        <w:rPr>
          <w:lang w:val="en-US"/>
        </w:rPr>
        <w:t xml:space="preserve"> is provided by </w:t>
      </w:r>
      <w:r>
        <w:rPr>
          <w:i/>
          <w:lang w:val="en-US"/>
        </w:rPr>
        <w:t>p0</w:t>
      </w:r>
      <w:r>
        <w:rPr>
          <w:lang w:val="en-US"/>
        </w:rPr>
        <w:t xml:space="preserve"> obtained from </w:t>
      </w:r>
      <w:r>
        <w:rPr>
          <w:i/>
        </w:rPr>
        <w:t>p0-PUSCH-Alpha</w:t>
      </w:r>
      <w:r>
        <w:rPr>
          <w:i/>
          <w:lang w:val="en-US"/>
        </w:rPr>
        <w:t xml:space="preserve"> </w:t>
      </w:r>
      <w:r>
        <w:rPr>
          <w:lang w:val="en-US"/>
        </w:rPr>
        <w:t xml:space="preserve">in </w:t>
      </w:r>
      <w:r>
        <w:rPr>
          <w:i/>
        </w:rPr>
        <w:t>ConfiguredGrantConfig</w:t>
      </w:r>
      <w:r>
        <w:rPr>
          <w:lang w:val="en-US"/>
        </w:rPr>
        <w:t xml:space="preserve"> that provides an index </w:t>
      </w:r>
      <w:r>
        <w:rPr>
          <w:i/>
        </w:rPr>
        <w:t>P0-PUSCH-AlphaSetId</w:t>
      </w:r>
      <w:r>
        <w:rPr>
          <w:lang w:val="en-US"/>
        </w:rPr>
        <w:t xml:space="preserve"> to a set of</w:t>
      </w:r>
      <w:r>
        <w:t xml:space="preserve"> </w:t>
      </w:r>
      <w:r>
        <w:rPr>
          <w:i/>
        </w:rPr>
        <w:t>P0-PUSCH-AlphaSet</w:t>
      </w:r>
      <w:r>
        <w:rPr>
          <w:iCs/>
          <w:lang w:val="en-US"/>
        </w:rPr>
        <w:t>, or b</w:t>
      </w:r>
      <w:r>
        <w:rPr>
          <w:iCs/>
          <w:highlight w:val="none"/>
          <w:lang w:val="en-US"/>
        </w:rPr>
        <w:t>y</w:t>
      </w:r>
      <w:r>
        <w:rPr>
          <w:rFonts w:hint="eastAsia" w:eastAsia="宋体"/>
          <w:iCs/>
          <w:highlight w:val="none"/>
          <w:lang w:val="en-US" w:eastAsia="zh-CN"/>
        </w:rPr>
        <w:t xml:space="preserve"> </w:t>
      </w:r>
      <w:r>
        <w:rPr>
          <w:i/>
          <w:iCs/>
          <w:color w:val="FF0000"/>
        </w:rPr>
        <w:t>sdt-P</w:t>
      </w:r>
      <w:r>
        <w:rPr>
          <w:rFonts w:eastAsia="宋体"/>
          <w:i/>
          <w:iCs/>
          <w:color w:val="FF0000"/>
        </w:rPr>
        <w:t>0-PUSCH-r17</w:t>
      </w:r>
      <w:r>
        <w:t xml:space="preserve"> </w:t>
      </w:r>
      <w:r>
        <w:rPr>
          <w:i/>
          <w:strike/>
          <w:dstrike w:val="0"/>
          <w:color w:val="FF0000"/>
          <w:highlight w:val="none"/>
          <w:lang w:val="en-US"/>
        </w:rPr>
        <w:t>p0-PUSCH</w:t>
      </w:r>
      <w:r>
        <w:rPr>
          <w:iCs/>
          <w:highlight w:val="none"/>
          <w:lang w:val="en-US"/>
        </w:rPr>
        <w:t xml:space="preserve"> </w:t>
      </w:r>
      <w:r>
        <w:rPr>
          <w:iCs/>
          <w:lang w:val="en-US"/>
        </w:rPr>
        <w:t>for a PUSCH (re)transmission as described in clause 19.1,</w:t>
      </w:r>
      <w:r>
        <w:t xml:space="preserve"> for </w:t>
      </w:r>
      <w:r>
        <w:rPr>
          <w:lang w:val="en-US"/>
        </w:rPr>
        <w:t xml:space="preserve">active UL BWP </w:t>
      </w:r>
      <m:oMath>
        <m:r>
          <m:rPr/>
          <w:rPr>
            <w:rFonts w:ascii="Cambria Math" w:hAnsi="Cambria Math"/>
          </w:rPr>
          <m:t>b</m:t>
        </m:r>
      </m:oMath>
      <w:r>
        <w:rPr>
          <w:iCs/>
          <w:lang w:val="en-US"/>
        </w:rPr>
        <w:t xml:space="preserve"> </w:t>
      </w:r>
      <w:r>
        <w:rPr>
          <w:lang w:val="en-US"/>
        </w:rPr>
        <w:t xml:space="preserve">of carrier </w:t>
      </w:r>
      <m:oMath>
        <m:r>
          <m:rPr/>
          <w:rPr>
            <w:rFonts w:ascii="Cambria Math" w:hAnsi="Cambria Math"/>
            <w:lang w:val="en-US"/>
          </w:rPr>
          <m:t>f</m:t>
        </m:r>
      </m:oMath>
      <w:r>
        <w:rPr>
          <w:iCs/>
          <w:lang w:val="en-US"/>
        </w:rPr>
        <w:t xml:space="preserve"> of</w:t>
      </w:r>
      <w:r>
        <w:t xml:space="preserve"> serving cell </w:t>
      </w:r>
      <m:oMath>
        <m:r>
          <m:rPr/>
          <w:rPr>
            <w:rFonts w:ascii="Cambria Math" w:hAnsi="Cambria Math"/>
          </w:rPr>
          <m:t>c</m:t>
        </m:r>
      </m:oMath>
    </w:p>
    <w:p>
      <w:pPr>
        <w:pStyle w:val="114"/>
        <w:rPr>
          <w:rFonts w:hint="default" w:ascii="Cambria Math" w:hAnsi="Cambria Math" w:eastAsia="宋体"/>
          <w:i w:val="0"/>
          <w:lang w:val="en-US" w:eastAsia="zh-CN"/>
        </w:rPr>
      </w:pPr>
      <w:r>
        <w:rPr>
          <w:rFonts w:hint="eastAsia" w:ascii="Cambria Math" w:hAnsi="Cambria Math" w:eastAsia="宋体"/>
          <w:i w:val="0"/>
          <w:lang w:val="en-US" w:eastAsia="zh-CN"/>
        </w:rPr>
        <w:t>...</w:t>
      </w:r>
    </w:p>
    <w:p>
      <w:pPr>
        <w:pStyle w:val="114"/>
        <w:rPr>
          <w:lang w:val="en-US"/>
        </w:rPr>
      </w:pPr>
      <w:r>
        <w:t>-</w:t>
      </w:r>
      <w:r>
        <w:tab/>
      </w:r>
      <w:r>
        <w:t xml:space="preserve">else </w:t>
      </w:r>
      <m:oMath>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b</m:t>
            </m:r>
            <m:r>
              <m:rPr>
                <m:sty m:val="p"/>
              </m:rPr>
              <w:rPr>
                <w:rFonts w:ascii="Cambria Math" w:hAnsi="Cambria Math"/>
              </w:rPr>
              <m:t>,</m:t>
            </m:r>
            <m:r>
              <m:rPr/>
              <w:rPr>
                <w:rFonts w:ascii="Cambria Math" w:hAnsi="Cambria Math"/>
              </w:rPr>
              <m:t>f</m:t>
            </m:r>
            <m:r>
              <m:rPr>
                <m:sty m:val="p"/>
              </m:rPr>
              <w:rPr>
                <w:rFonts w:ascii="Cambria Math" w:hAnsi="Cambria Math"/>
              </w:rPr>
              <m:t>,</m:t>
            </m:r>
            <m:r>
              <m:rPr/>
              <w:rPr>
                <w:rFonts w:ascii="Cambria Math" w:hAnsi="Cambria Math"/>
              </w:rPr>
              <m:t>c</m:t>
            </m:r>
            <m:ctrlPr>
              <w:rPr>
                <w:rFonts w:ascii="Cambria Math" w:hAnsi="Cambria Math"/>
              </w:rPr>
            </m:ctrlPr>
          </m:sub>
        </m:sSub>
        <m:r>
          <m:rPr>
            <m:sty m:val="p"/>
          </m:rPr>
          <w:rPr>
            <w:rFonts w:ascii="Cambria Math" w:hAnsi="Cambria Math"/>
          </w:rPr>
          <m:t>(1)</m:t>
        </m:r>
      </m:oMath>
      <w:r>
        <w:rPr>
          <w:lang w:val="en-US"/>
        </w:rPr>
        <w:t xml:space="preserve"> is provided by </w:t>
      </w:r>
      <w:r>
        <w:rPr>
          <w:i/>
          <w:lang w:val="en-US"/>
        </w:rPr>
        <w:t xml:space="preserve">alpha </w:t>
      </w:r>
      <w:r>
        <w:rPr>
          <w:lang w:val="en-US"/>
        </w:rPr>
        <w:t xml:space="preserve">obtained from </w:t>
      </w:r>
      <w:r>
        <w:rPr>
          <w:i/>
        </w:rPr>
        <w:t>p0-PUSCH-Alpha</w:t>
      </w:r>
      <w:r>
        <w:rPr>
          <w:lang w:val="en-US"/>
        </w:rPr>
        <w:t xml:space="preserve"> in </w:t>
      </w:r>
      <w:r>
        <w:rPr>
          <w:i/>
        </w:rPr>
        <w:t>ConfiguredGrantConfig</w:t>
      </w:r>
      <w:r>
        <w:rPr>
          <w:lang w:val="en-US"/>
        </w:rPr>
        <w:t xml:space="preserve"> providing an index </w:t>
      </w:r>
      <w:r>
        <w:rPr>
          <w:i/>
        </w:rPr>
        <w:t>P0-PUSCH-AlphaSetId</w:t>
      </w:r>
      <w:r>
        <w:rPr>
          <w:lang w:val="en-US"/>
        </w:rPr>
        <w:t xml:space="preserve"> to a set of </w:t>
      </w:r>
      <w:r>
        <w:rPr>
          <w:i/>
        </w:rPr>
        <w:t>P0-PUSCH-AlphaSet</w:t>
      </w:r>
      <w:r>
        <w:rPr>
          <w:iCs/>
          <w:lang w:val="en-US"/>
        </w:rPr>
        <w:t>, or</w:t>
      </w:r>
      <w:r>
        <w:rPr>
          <w:iCs/>
          <w:highlight w:val="none"/>
          <w:lang w:val="en-US"/>
        </w:rPr>
        <w:t xml:space="preserve"> by</w:t>
      </w:r>
      <w:r>
        <w:rPr>
          <w:rFonts w:hint="eastAsia" w:eastAsia="宋体"/>
          <w:iCs/>
          <w:highlight w:val="none"/>
          <w:lang w:val="en-US" w:eastAsia="zh-CN"/>
        </w:rPr>
        <w:t xml:space="preserve"> </w:t>
      </w:r>
      <w:r>
        <w:rPr>
          <w:i/>
          <w:iCs/>
          <w:color w:val="FF0000"/>
        </w:rPr>
        <w:t>sdt-A</w:t>
      </w:r>
      <w:r>
        <w:rPr>
          <w:rFonts w:eastAsia="宋体"/>
          <w:i/>
          <w:iCs/>
          <w:color w:val="FF0000"/>
        </w:rPr>
        <w:t>lpha-r17</w:t>
      </w:r>
      <w:r>
        <w:rPr>
          <w:rFonts w:hint="eastAsia" w:eastAsia="宋体"/>
          <w:lang w:val="en-US" w:eastAsia="zh-CN"/>
        </w:rPr>
        <w:t xml:space="preserve"> </w:t>
      </w:r>
      <w:r>
        <w:rPr>
          <w:i/>
          <w:strike/>
          <w:dstrike w:val="0"/>
          <w:color w:val="FF0000"/>
          <w:highlight w:val="none"/>
          <w:lang w:val="en-US"/>
        </w:rPr>
        <w:t>alpha</w:t>
      </w:r>
      <w:r>
        <w:rPr>
          <w:iCs/>
          <w:highlight w:val="none"/>
          <w:lang w:val="en-US"/>
        </w:rPr>
        <w:t xml:space="preserve"> </w:t>
      </w:r>
      <w:r>
        <w:rPr>
          <w:iCs/>
          <w:lang w:val="en-US"/>
        </w:rPr>
        <w:t>for a PUSCH (re)transmission as described in clause 19.1,</w:t>
      </w:r>
      <w:r>
        <w:t xml:space="preserve"> for </w:t>
      </w:r>
      <w:r>
        <w:rPr>
          <w:lang w:val="en-US"/>
        </w:rPr>
        <w:t xml:space="preserve">active UL BWP </w:t>
      </w:r>
      <m:oMath>
        <m:r>
          <m:rPr/>
          <w:rPr>
            <w:rFonts w:ascii="Cambria Math" w:hAnsi="Cambria Math"/>
          </w:rPr>
          <m:t>b</m:t>
        </m:r>
      </m:oMath>
      <w:r>
        <w:rPr>
          <w:iCs/>
          <w:lang w:val="en-US"/>
        </w:rPr>
        <w:t xml:space="preserve"> </w:t>
      </w:r>
      <w:r>
        <w:rPr>
          <w:lang w:val="en-US"/>
        </w:rPr>
        <w:t xml:space="preserve">of carrier </w:t>
      </w:r>
      <m:oMath>
        <m:r>
          <m:rPr/>
          <w:rPr>
            <w:rFonts w:ascii="Cambria Math" w:hAnsi="Cambria Math"/>
            <w:lang w:val="en-US"/>
          </w:rPr>
          <m:t>f</m:t>
        </m:r>
      </m:oMath>
      <w:r>
        <w:rPr>
          <w:iCs/>
          <w:lang w:val="en-US"/>
        </w:rPr>
        <w:t xml:space="preserve"> of</w:t>
      </w:r>
      <w:r>
        <w:t xml:space="preserve"> serving cell </w:t>
      </w:r>
      <m:oMath>
        <m:r>
          <m:rPr/>
          <w:rPr>
            <w:rFonts w:ascii="Cambria Math" w:hAnsi="Cambria Math"/>
          </w:rPr>
          <m:t>c</m:t>
        </m:r>
      </m:oMath>
    </w:p>
    <w:p>
      <w:pPr>
        <w:widowControl w:val="0"/>
        <w:spacing w:line="240" w:lineRule="auto"/>
        <w:jc w:val="both"/>
        <w:rPr>
          <w:b/>
          <w:bCs/>
          <w:color w:val="FF0000"/>
          <w:lang w:eastAsia="zh-CN"/>
        </w:rPr>
      </w:pPr>
    </w:p>
    <w:p>
      <w:pPr>
        <w:widowControl w:val="0"/>
        <w:spacing w:line="240" w:lineRule="auto"/>
        <w:jc w:val="center"/>
        <w:rPr>
          <w:b/>
          <w:bCs/>
          <w:color w:val="FF0000"/>
          <w:lang w:eastAsia="zh-CN"/>
        </w:rPr>
      </w:pPr>
      <w:r>
        <w:rPr>
          <w:b/>
          <w:bCs/>
          <w:color w:val="FF0000"/>
          <w:lang w:eastAsia="zh-CN"/>
        </w:rPr>
        <w:t>&lt; Unchanged text omitted &gt;</w:t>
      </w:r>
    </w:p>
    <w:p>
      <w:pPr>
        <w:pStyle w:val="3"/>
        <w:numPr>
          <w:ilvl w:val="1"/>
          <w:numId w:val="0"/>
        </w:numPr>
        <w:ind w:leftChars="0"/>
      </w:pPr>
      <w:r>
        <w:t>19.2</w:t>
      </w:r>
      <w:r>
        <w:tab/>
      </w:r>
      <w:r>
        <w:t>Random-access based PUSCH transmission</w:t>
      </w:r>
    </w:p>
    <w:p>
      <w:pPr>
        <w:rPr>
          <w:iCs/>
        </w:rPr>
      </w:pPr>
      <w:r>
        <w:rPr>
          <w:iCs/>
        </w:rPr>
        <w:t xml:space="preserve">A UE indicated to release a dedicated RRC connection </w:t>
      </w:r>
      <w:r>
        <w:t xml:space="preserve">can be provided a configuration for a Type-1 and/or a Type-2 random access procedure </w:t>
      </w:r>
      <w:r>
        <w:rPr>
          <w:rFonts w:cs="Arial"/>
          <w:color w:val="000000"/>
          <w:szCs w:val="32"/>
          <w:lang w:eastAsia="zh-CN"/>
        </w:rPr>
        <w:t xml:space="preserve">on the initial UL BWP [12, TS 38.331]. </w:t>
      </w:r>
      <w:r>
        <w:rPr>
          <w:lang w:val="en-US"/>
        </w:rP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r>
        <w:rPr>
          <w:iCs/>
        </w:rPr>
        <w:t xml:space="preserve">For a common configuration of PRACH occasions and a Type-1 or a Type-2 random access procedure, a UE can be provided </w:t>
      </w:r>
      <w:r>
        <w:t xml:space="preserve">a number of </w:t>
      </w:r>
      <w:r>
        <w:rPr>
          <w:color w:val="auto"/>
        </w:rPr>
        <w:t>contention based preambles per SS/PBCH block index per valid PRACH occasion by</w:t>
      </w:r>
      <w:r>
        <w:rPr>
          <w:rFonts w:hint="eastAsia" w:eastAsia="宋体"/>
          <w:color w:val="auto"/>
          <w:lang w:val="en-US" w:eastAsia="zh-CN"/>
        </w:rPr>
        <w:t xml:space="preserve"> </w:t>
      </w:r>
      <w:r>
        <w:rPr>
          <w:i/>
          <w:iCs/>
          <w:color w:val="FF0000"/>
        </w:rPr>
        <w:t>numberOfPreamblesForThisPartition-r17</w:t>
      </w:r>
      <w:r>
        <w:rPr>
          <w:rFonts w:hint="eastAsia" w:eastAsia="宋体"/>
          <w:i/>
          <w:iCs/>
          <w:color w:val="FF0000"/>
          <w:lang w:val="en-US" w:eastAsia="zh-CN"/>
        </w:rPr>
        <w:t xml:space="preserve"> </w:t>
      </w:r>
      <w:r>
        <w:rPr>
          <w:i/>
          <w:strike/>
          <w:color w:val="FF0000"/>
        </w:rPr>
        <w:t>sdt-CB-PreamblesPerSSB-PerSharedRO</w:t>
      </w:r>
      <w:r>
        <w:rPr>
          <w:iCs/>
          <w:strike/>
          <w:color w:val="FF0000"/>
        </w:rPr>
        <w:t xml:space="preserve"> or </w:t>
      </w:r>
      <w:r>
        <w:rPr>
          <w:i/>
          <w:strike/>
          <w:color w:val="FF0000"/>
        </w:rPr>
        <w:t>sdt-msgA-CB-PreamblesPerSSB-PerSharedRO</w:t>
      </w:r>
      <w:r>
        <w:rPr>
          <w:strike/>
          <w:color w:val="FF0000"/>
          <w:lang w:val="en-US"/>
        </w:rPr>
        <w:t>, respectively</w:t>
      </w:r>
      <w:r>
        <w:rPr>
          <w:lang w:val="en-US"/>
        </w:rPr>
        <w:t xml:space="preserve">. </w:t>
      </w:r>
      <w:r>
        <w:rPr>
          <w:shd w:val="clear" w:color="auto" w:fill="FFFFFF"/>
        </w:rPr>
        <w:t xml:space="preserve">A PRACH transmission can be on a subset of PRACH occasions associated with a same SS/PBCH block index </w:t>
      </w:r>
      <w:r>
        <w:rPr>
          <w:rFonts w:hint="eastAsia"/>
          <w:shd w:val="clear" w:color="auto" w:fill="FFFFFF"/>
          <w:lang w:eastAsia="zh-CN"/>
        </w:rPr>
        <w:t>within a</w:t>
      </w:r>
      <w:r>
        <w:rPr>
          <w:shd w:val="clear" w:color="auto" w:fill="FFFFFF"/>
          <w:lang w:eastAsia="zh-CN"/>
        </w:rPr>
        <w:t>n</w:t>
      </w:r>
      <w:r>
        <w:rPr>
          <w:rFonts w:hint="eastAsia"/>
          <w:shd w:val="clear" w:color="auto" w:fill="FFFFFF"/>
          <w:lang w:eastAsia="zh-CN"/>
        </w:rPr>
        <w:t xml:space="preserve"> SSB-RO mapping cycle</w:t>
      </w:r>
      <w:r>
        <w:rPr>
          <w:shd w:val="clear" w:color="auto" w:fill="FFFFFF"/>
        </w:rPr>
        <w:t xml:space="preserve"> as determined by a PRACH mask index provided by </w:t>
      </w:r>
      <w:r>
        <w:rPr>
          <w:i/>
          <w:iCs/>
          <w:color w:val="FF0000"/>
        </w:rPr>
        <w:t>ssb-SharedRO-MaskIndex-r17</w:t>
      </w:r>
      <w:r>
        <w:rPr>
          <w:rFonts w:hint="eastAsia" w:eastAsia="宋体"/>
          <w:i/>
          <w:iCs/>
          <w:color w:val="FF0000"/>
          <w:lang w:val="en-US" w:eastAsia="zh-CN"/>
        </w:rPr>
        <w:t xml:space="preserve"> </w:t>
      </w:r>
      <w:r>
        <w:rPr>
          <w:i/>
          <w:iCs/>
          <w:strike/>
          <w:dstrike w:val="0"/>
          <w:color w:val="FF0000"/>
          <w:shd w:val="clear" w:color="auto" w:fill="FFFFFF"/>
        </w:rPr>
        <w:t>sdt-SSB-SharedRO-MaskIndex</w:t>
      </w:r>
      <w:r>
        <w:rPr>
          <w:rStyle w:val="281"/>
          <w:strike/>
          <w:dstrike w:val="0"/>
          <w:color w:val="FF0000"/>
          <w:shd w:val="clear" w:color="auto" w:fill="FFFFFF"/>
        </w:rPr>
        <w:t xml:space="preserve"> or </w:t>
      </w:r>
      <w:r>
        <w:rPr>
          <w:i/>
          <w:iCs/>
          <w:strike/>
          <w:dstrike w:val="0"/>
          <w:color w:val="FF0000"/>
          <w:shd w:val="clear" w:color="auto" w:fill="FFFFFF"/>
        </w:rPr>
        <w:t>sdt-msgA-SSB-SharedRO-MaskIndex</w:t>
      </w:r>
      <w:r>
        <w:rPr>
          <w:shd w:val="clear" w:color="auto" w:fill="FFFFFF"/>
        </w:rPr>
        <w:t xml:space="preserve"> according to [11, TS 38.321]</w:t>
      </w:r>
      <w:r>
        <w:t xml:space="preserve">. </w:t>
      </w:r>
    </w:p>
    <w:p>
      <w:pPr>
        <w:pBdr>
          <w:bottom w:val="double" w:color="auto" w:sz="6" w:space="1"/>
        </w:pBdr>
        <w:jc w:val="center"/>
      </w:pPr>
      <w:r>
        <w:rPr>
          <w:b/>
          <w:bCs/>
          <w:color w:val="FF0000"/>
          <w:lang w:eastAsia="zh-CN"/>
        </w:rPr>
        <w:t>&lt; Unchanged text omitted &gt;</w:t>
      </w:r>
    </w:p>
    <w:p>
      <w:pPr>
        <w:pBdr>
          <w:bottom w:val="double" w:color="auto" w:sz="6" w:space="1"/>
        </w:pBdr>
      </w:pPr>
    </w:p>
    <w:p>
      <w:pPr>
        <w:pBdr>
          <w:bottom w:val="double" w:color="auto" w:sz="6" w:space="1"/>
        </w:pBd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9257BF9"/>
    <w:rsid w:val="265F2BF8"/>
    <w:rsid w:val="2BB30C36"/>
    <w:rsid w:val="313C4912"/>
    <w:rsid w:val="407F4044"/>
    <w:rsid w:val="41153DA1"/>
    <w:rsid w:val="4AA944AD"/>
    <w:rsid w:val="53F5402B"/>
    <w:rsid w:val="5A1C1C3B"/>
    <w:rsid w:val="635E25E1"/>
    <w:rsid w:val="64637351"/>
    <w:rsid w:val="656A70B4"/>
    <w:rsid w:val="66701E52"/>
    <w:rsid w:val="75E33C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nhideWhenUsed="0" w:uiPriority="0" w:semiHidden="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1"/>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HTML Top of Form"/>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HTML Bottom of Form"/>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9"/>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Accent 5"/>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rFonts w:eastAsia="宋体"/>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rFonts w:eastAsia="宋体"/>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9"/>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8">
    <w:name w:val="x_msonormal"/>
    <w:basedOn w:val="1"/>
    <w:qFormat/>
    <w:uiPriority w:val="0"/>
    <w:pPr>
      <w:spacing w:after="0"/>
    </w:pPr>
    <w:rPr>
      <w:rFonts w:ascii="Calibri" w:hAnsi="Calibri" w:eastAsia="Malgun Gothic" w:cs="Calibri"/>
      <w:sz w:val="22"/>
      <w:szCs w:val="22"/>
      <w:lang w:val="en-US" w:eastAsia="ko-KR"/>
    </w:rPr>
  </w:style>
  <w:style w:type="paragraph" w:customStyle="1" w:styleId="609">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1">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2">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3">
    <w:name w:val="normaltextrun"/>
    <w:basedOn w:val="75"/>
    <w:qFormat/>
    <w:uiPriority w:val="0"/>
  </w:style>
  <w:style w:type="character" w:customStyle="1" w:styleId="614">
    <w:name w:val="eop"/>
    <w:basedOn w:val="75"/>
    <w:qFormat/>
    <w:uiPriority w:val="0"/>
  </w:style>
  <w:style w:type="character" w:customStyle="1" w:styleId="615">
    <w:name w:val="xxxxxapple-converted-space"/>
    <w:basedOn w:val="75"/>
    <w:qFormat/>
    <w:uiPriority w:val="0"/>
  </w:style>
  <w:style w:type="character" w:customStyle="1" w:styleId="616">
    <w:name w:val="xxapple-converted-space"/>
    <w:basedOn w:val="75"/>
    <w:qFormat/>
    <w:uiPriority w:val="0"/>
  </w:style>
  <w:style w:type="character" w:customStyle="1" w:styleId="617">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0BBCD9-3D69-43EB-B30C-C852D680FE8D}">
  <ds:schemaRefs/>
</ds:datastoreItem>
</file>

<file path=customXml/itemProps2.xml><?xml version="1.0" encoding="utf-8"?>
<ds:datastoreItem xmlns:ds="http://schemas.openxmlformats.org/officeDocument/2006/customXml" ds:itemID="{8CBDD2AB-1D50-4EC7-91E4-FF1F2F9DD153}">
  <ds:schemaRefs/>
</ds:datastoreItem>
</file>

<file path=customXml/itemProps3.xml><?xml version="1.0" encoding="utf-8"?>
<ds:datastoreItem xmlns:ds="http://schemas.openxmlformats.org/officeDocument/2006/customXml" ds:itemID="{512C8797-BDAD-4B69-9F70-2F44BAF449AF}">
  <ds:schemaRefs/>
</ds:datastoreItem>
</file>

<file path=customXml/itemProps4.xml><?xml version="1.0" encoding="utf-8"?>
<ds:datastoreItem xmlns:ds="http://schemas.openxmlformats.org/officeDocument/2006/customXml" ds:itemID="{409794EB-5B17-4D29-9F4B-498903F734CE}">
  <ds:schemaRefs/>
</ds:datastoreItem>
</file>

<file path=docProps/app.xml><?xml version="1.0" encoding="utf-8"?>
<Properties xmlns="http://schemas.openxmlformats.org/officeDocument/2006/extended-properties" xmlns:vt="http://schemas.openxmlformats.org/officeDocument/2006/docPropsVTypes">
  <Template>3gpp_70.dot</Template>
  <Pages>3</Pages>
  <Words>617</Words>
  <Characters>3520</Characters>
  <Lines>29</Lines>
  <Paragraphs>8</Paragraphs>
  <TotalTime>2</TotalTime>
  <ScaleCrop>false</ScaleCrop>
  <LinksUpToDate>false</LinksUpToDate>
  <CharactersWithSpaces>4129</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2022-05-18T04:12:00Z</dcterms:created>
  <dc:creator>10240485</dc:creator>
  <cp:lastModifiedBy>ZTE</cp:lastModifiedBy>
  <cp:lastPrinted>2411-12-31T08:00:00Z</cp:lastPrinted>
  <dcterms:modified xsi:type="dcterms:W3CDTF">2022-08-12T07:31:13Z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0B8CFD4F601E4BADB1875D84BD9ABBB8</vt:lpwstr>
  </property>
</Properties>
</file>